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AD4ACA">
      <w:pPr>
        <w:framePr w:w="10979" w:h="16140" w:hRule="exact" w:wrap="auto" w:vAnchor="text" w:hAnchor="page" w:x="637" w:y="308"/>
      </w:pPr>
    </w:p>
    <w:tbl>
      <w:tblPr>
        <w:tblpPr w:leftFromText="141" w:rightFromText="141" w:vertAnchor="text" w:horzAnchor="margin" w:tblpY="404"/>
        <w:tblW w:w="1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16"/>
        <w:gridCol w:w="1331"/>
        <w:gridCol w:w="5377"/>
        <w:gridCol w:w="1561"/>
        <w:gridCol w:w="1758"/>
      </w:tblGrid>
      <w:tr w:rsidR="00044B1A" w:rsidTr="003D2FB5">
        <w:trPr>
          <w:trHeight w:val="795"/>
        </w:trPr>
        <w:tc>
          <w:tcPr>
            <w:tcW w:w="2330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8B69F6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77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E47D01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3319" w:type="dxa"/>
            <w:gridSpan w:val="2"/>
          </w:tcPr>
          <w:p w:rsidR="00044B1A" w:rsidRDefault="00833865" w:rsidP="0095369C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95369C">
              <w:rPr>
                <w:b/>
                <w:sz w:val="20"/>
              </w:rPr>
              <w:t>02</w:t>
            </w:r>
            <w:r w:rsidR="00044B1A">
              <w:rPr>
                <w:b/>
                <w:sz w:val="20"/>
              </w:rPr>
              <w:t>/20</w:t>
            </w:r>
            <w:r w:rsidR="00E47D01">
              <w:rPr>
                <w:b/>
                <w:sz w:val="20"/>
              </w:rPr>
              <w:t>2</w:t>
            </w:r>
            <w:r w:rsidR="0095369C">
              <w:rPr>
                <w:b/>
                <w:sz w:val="20"/>
              </w:rPr>
              <w:t>2</w:t>
            </w:r>
          </w:p>
        </w:tc>
      </w:tr>
      <w:tr w:rsidR="00044B1A" w:rsidTr="003D2FB5">
        <w:trPr>
          <w:trHeight w:val="503"/>
        </w:trPr>
        <w:tc>
          <w:tcPr>
            <w:tcW w:w="2330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  <w:p w:rsidR="0095369C" w:rsidRDefault="0095369C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77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3319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3D2FB5">
        <w:trPr>
          <w:trHeight w:val="371"/>
        </w:trPr>
        <w:tc>
          <w:tcPr>
            <w:tcW w:w="11026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380F8F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380F8F">
              <w:t>PRODUKTBEZEICHNUNG</w:t>
            </w:r>
          </w:p>
        </w:tc>
      </w:tr>
      <w:tr w:rsidR="00E47D01" w:rsidTr="004A38B4">
        <w:trPr>
          <w:trHeight w:val="270"/>
        </w:trPr>
        <w:tc>
          <w:tcPr>
            <w:tcW w:w="11026" w:type="dxa"/>
            <w:gridSpan w:val="6"/>
          </w:tcPr>
          <w:p w:rsidR="00E47D01" w:rsidRDefault="0095369C" w:rsidP="00925AD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Alkoclean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Exotica</w:t>
            </w:r>
            <w:proofErr w:type="spellEnd"/>
          </w:p>
          <w:p w:rsidR="00E47D01" w:rsidRPr="00380F8F" w:rsidRDefault="00E47D01" w:rsidP="00E47D0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blau    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parfümiert</w:t>
            </w:r>
          </w:p>
        </w:tc>
      </w:tr>
      <w:tr w:rsidR="00044B1A" w:rsidTr="003D2FB5">
        <w:trPr>
          <w:trHeight w:val="356"/>
        </w:trPr>
        <w:tc>
          <w:tcPr>
            <w:tcW w:w="11026" w:type="dxa"/>
            <w:gridSpan w:val="6"/>
            <w:shd w:val="clear" w:color="auto" w:fill="FF0000"/>
          </w:tcPr>
          <w:p w:rsidR="00044B1A" w:rsidRPr="00380F8F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380F8F">
              <w:t>GEFAHREN FÜR MENSCH UND UMWELT</w:t>
            </w:r>
          </w:p>
        </w:tc>
      </w:tr>
      <w:tr w:rsidR="00044B1A" w:rsidTr="003D2FB5">
        <w:trPr>
          <w:trHeight w:val="1025"/>
        </w:trPr>
        <w:tc>
          <w:tcPr>
            <w:tcW w:w="983" w:type="dxa"/>
          </w:tcPr>
          <w:p w:rsidR="000D17B7" w:rsidRDefault="00F15B56" w:rsidP="000D17B7">
            <w:pPr>
              <w:spacing w:after="60"/>
              <w:jc w:val="center"/>
            </w:pPr>
            <w:r w:rsidRPr="008F08C0">
              <w:rPr>
                <w:noProof/>
              </w:rPr>
              <w:drawing>
                <wp:inline distT="0" distB="0" distL="0" distR="0" wp14:anchorId="4D12CA58" wp14:editId="64E97989">
                  <wp:extent cx="419100" cy="4476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C53" w:rsidRPr="000D17B7" w:rsidRDefault="0095369C" w:rsidP="000D17B7">
            <w:pPr>
              <w:spacing w:after="60"/>
              <w:jc w:val="center"/>
            </w:pPr>
            <w:r>
              <w:t>Achtung</w:t>
            </w:r>
          </w:p>
        </w:tc>
        <w:tc>
          <w:tcPr>
            <w:tcW w:w="8285" w:type="dxa"/>
            <w:gridSpan w:val="4"/>
            <w:tcBorders>
              <w:right w:val="nil"/>
            </w:tcBorders>
          </w:tcPr>
          <w:p w:rsidR="00AD4ACA" w:rsidRPr="000D60CA" w:rsidRDefault="005D58AD" w:rsidP="005D58AD">
            <w:pPr>
              <w:tabs>
                <w:tab w:val="left" w:pos="587"/>
              </w:tabs>
              <w:rPr>
                <w:sz w:val="8"/>
                <w:szCs w:val="8"/>
              </w:rPr>
            </w:pPr>
            <w:r>
              <w:t xml:space="preserve">    </w:t>
            </w:r>
            <w:r w:rsidR="009E3D50">
              <w:t xml:space="preserve"> </w:t>
            </w:r>
          </w:p>
          <w:p w:rsidR="005D58AD" w:rsidRPr="009E3D50" w:rsidRDefault="00AD4ACA" w:rsidP="005D58AD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t xml:space="preserve">      </w:t>
            </w:r>
            <w:r w:rsidR="005D58AD" w:rsidRPr="009E3D50">
              <w:rPr>
                <w:sz w:val="20"/>
                <w:szCs w:val="20"/>
              </w:rPr>
              <w:t>Kennzeichnung (Verordnung (EG) Nr. 1272/2008)</w:t>
            </w:r>
          </w:p>
          <w:p w:rsidR="0095369C" w:rsidRDefault="006212D0" w:rsidP="006212D0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6212D0">
              <w:rPr>
                <w:sz w:val="20"/>
                <w:szCs w:val="20"/>
              </w:rPr>
              <w:t>H319 Verursacht schwere Augenreizung</w:t>
            </w:r>
            <w:r w:rsidR="00021C92">
              <w:rPr>
                <w:sz w:val="20"/>
                <w:szCs w:val="20"/>
              </w:rPr>
              <w:t>.</w:t>
            </w:r>
            <w:r w:rsidR="0095369C">
              <w:rPr>
                <w:sz w:val="20"/>
                <w:szCs w:val="20"/>
              </w:rPr>
              <w:t xml:space="preserve">EUH208 </w:t>
            </w:r>
          </w:p>
          <w:p w:rsidR="008F08C0" w:rsidRDefault="0095369C" w:rsidP="006212D0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Enthält: D-Limonen. Kann allergische Reaktionen hervorrufen</w:t>
            </w:r>
          </w:p>
          <w:p w:rsidR="00494750" w:rsidRPr="000D60CA" w:rsidRDefault="00494750" w:rsidP="007905C9">
            <w:pPr>
              <w:tabs>
                <w:tab w:val="left" w:pos="587"/>
              </w:tabs>
              <w:ind w:left="720"/>
              <w:rPr>
                <w:sz w:val="8"/>
                <w:szCs w:val="8"/>
              </w:rPr>
            </w:pPr>
          </w:p>
        </w:tc>
        <w:tc>
          <w:tcPr>
            <w:tcW w:w="1758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3D2FB5">
        <w:trPr>
          <w:trHeight w:val="371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E47D01" w:rsidTr="0068410E">
        <w:trPr>
          <w:trHeight w:val="3016"/>
        </w:trPr>
        <w:tc>
          <w:tcPr>
            <w:tcW w:w="999" w:type="dxa"/>
            <w:gridSpan w:val="2"/>
          </w:tcPr>
          <w:p w:rsidR="00E47D01" w:rsidRDefault="00E47D0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 wp14:anchorId="6BE87627" wp14:editId="500999E6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D01" w:rsidRDefault="00E47D0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 wp14:anchorId="1B61DD68" wp14:editId="147791E3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D01" w:rsidRDefault="00E47D01" w:rsidP="00044B1A">
            <w:pPr>
              <w:jc w:val="center"/>
              <w:rPr>
                <w:sz w:val="8"/>
              </w:rPr>
            </w:pPr>
          </w:p>
          <w:p w:rsidR="00E47D01" w:rsidRDefault="00E47D01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27" w:type="dxa"/>
            <w:gridSpan w:val="4"/>
          </w:tcPr>
          <w:p w:rsidR="00E47D01" w:rsidRPr="009E3D50" w:rsidRDefault="00E47D01" w:rsidP="00E47D01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E47D01" w:rsidRPr="009E3D50" w:rsidRDefault="00E47D01" w:rsidP="00E47D01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</w:t>
            </w:r>
            <w:r w:rsidR="00F61B71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schutz: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E47D01" w:rsidRPr="009E3D50" w:rsidRDefault="00E47D01" w:rsidP="00E47D01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E47D01" w:rsidRPr="009E3D50" w:rsidRDefault="00E47D01" w:rsidP="00E47D01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E47D01" w:rsidRDefault="00E47D01" w:rsidP="00E47D01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  <w:p w:rsidR="00E47D01" w:rsidRDefault="00E47D01" w:rsidP="00044B1A">
            <w:pPr>
              <w:spacing w:before="20" w:after="60"/>
              <w:ind w:left="-57"/>
              <w:jc w:val="center"/>
            </w:pPr>
          </w:p>
          <w:p w:rsidR="00E47D01" w:rsidRDefault="00E47D01" w:rsidP="00E47D01">
            <w:pPr>
              <w:spacing w:before="20" w:after="60"/>
              <w:rPr>
                <w:sz w:val="20"/>
                <w:szCs w:val="20"/>
              </w:rPr>
            </w:pPr>
          </w:p>
        </w:tc>
      </w:tr>
      <w:tr w:rsidR="00044B1A" w:rsidTr="003D2FB5">
        <w:trPr>
          <w:trHeight w:val="235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E47D01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3D2FB5">
        <w:trPr>
          <w:trHeight w:val="1202"/>
        </w:trPr>
        <w:tc>
          <w:tcPr>
            <w:tcW w:w="999" w:type="dxa"/>
            <w:gridSpan w:val="2"/>
          </w:tcPr>
          <w:p w:rsidR="00044B1A" w:rsidRDefault="00E47D01" w:rsidP="00044B1A">
            <w:pPr>
              <w:spacing w:before="20" w:after="120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8" name="Grafik 8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7" w:type="dxa"/>
            <w:gridSpan w:val="4"/>
          </w:tcPr>
          <w:p w:rsidR="00E47D01" w:rsidRPr="006525BB" w:rsidRDefault="00E47D01" w:rsidP="00E47D01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E47D01" w:rsidRDefault="00E47D01" w:rsidP="00E47D01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E47D01" w:rsidRPr="006525BB" w:rsidRDefault="00E47D01" w:rsidP="00E47D01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E47D01" w:rsidRPr="006525BB" w:rsidRDefault="00E47D01" w:rsidP="00E47D01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E47D01" w:rsidRPr="006525BB" w:rsidRDefault="00E47D01" w:rsidP="00E47D01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E47D01" w:rsidP="00E47D01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3D2FB5">
        <w:trPr>
          <w:trHeight w:val="356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E47D01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:rsidTr="000D60CA">
        <w:trPr>
          <w:trHeight w:val="1904"/>
        </w:trPr>
        <w:tc>
          <w:tcPr>
            <w:tcW w:w="999" w:type="dxa"/>
            <w:gridSpan w:val="2"/>
          </w:tcPr>
          <w:p w:rsidR="00044B1A" w:rsidRDefault="00F15B56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 wp14:anchorId="15268B7F" wp14:editId="02C24ED9">
                  <wp:extent cx="542925" cy="5429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10027" w:type="dxa"/>
            <w:gridSpan w:val="4"/>
          </w:tcPr>
          <w:p w:rsidR="002108A5" w:rsidRPr="009E3D50" w:rsidRDefault="002108A5" w:rsidP="00E47D01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2108A5" w:rsidRPr="009E3D50" w:rsidRDefault="002108A5" w:rsidP="00E47D01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Hautkontakt: </w:t>
            </w:r>
            <w:r w:rsidRPr="009E3D50">
              <w:rPr>
                <w:sz w:val="20"/>
                <w:szCs w:val="20"/>
              </w:rPr>
              <w:t>Mit reichlich Wasser abwaschen. Kontaminierte Kleidung entfernen. Bei Hautreizung Arzt hinzuziehen.</w:t>
            </w:r>
          </w:p>
          <w:p w:rsidR="002108A5" w:rsidRPr="009E3D50" w:rsidRDefault="002108A5" w:rsidP="00E47D01">
            <w:pPr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Pr="009E3D5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Pr="009E3D50">
              <w:rPr>
                <w:sz w:val="20"/>
                <w:szCs w:val="20"/>
              </w:rPr>
              <w:t>Lidspalt</w:t>
            </w:r>
            <w:proofErr w:type="spellEnd"/>
            <w:r w:rsidRPr="009E3D50">
              <w:rPr>
                <w:sz w:val="20"/>
                <w:szCs w:val="20"/>
              </w:rPr>
              <w:t xml:space="preserve"> ausspülen. Augenarzt hinzuziehen.</w:t>
            </w:r>
          </w:p>
          <w:p w:rsidR="006D60A7" w:rsidRDefault="002108A5" w:rsidP="00E47D01">
            <w:pPr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Verschlucken: </w:t>
            </w:r>
            <w:r w:rsidR="006D60A7" w:rsidRPr="006D60A7">
              <w:rPr>
                <w:sz w:val="20"/>
                <w:szCs w:val="20"/>
              </w:rPr>
              <w:t xml:space="preserve">Wasser trinken </w:t>
            </w:r>
            <w:proofErr w:type="gramStart"/>
            <w:r w:rsidR="006D60A7" w:rsidRPr="006D60A7">
              <w:rPr>
                <w:sz w:val="20"/>
                <w:szCs w:val="20"/>
              </w:rPr>
              <w:t>lassen</w:t>
            </w:r>
            <w:proofErr w:type="gramEnd"/>
            <w:r w:rsidR="006D60A7" w:rsidRPr="006D60A7">
              <w:rPr>
                <w:sz w:val="20"/>
                <w:szCs w:val="20"/>
              </w:rPr>
              <w:t xml:space="preserve"> (maximal 2 Trinkgläser), kein Erbrechen auslösen, Arzt hinzuziehen. </w:t>
            </w:r>
          </w:p>
          <w:p w:rsidR="00044B1A" w:rsidRDefault="00044B1A" w:rsidP="00E47D01"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3D2FB5">
        <w:trPr>
          <w:trHeight w:val="356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3D2FB5">
        <w:trPr>
          <w:trHeight w:val="2213"/>
        </w:trPr>
        <w:tc>
          <w:tcPr>
            <w:tcW w:w="999" w:type="dxa"/>
            <w:gridSpan w:val="2"/>
          </w:tcPr>
          <w:p w:rsidR="00044B1A" w:rsidRDefault="00F15B56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 wp14:anchorId="658FF2B3" wp14:editId="5E5EADA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7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27" w:type="dxa"/>
            <w:gridSpan w:val="4"/>
          </w:tcPr>
          <w:p w:rsidR="00E47D01" w:rsidRDefault="00E47D01" w:rsidP="00E47D01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E47D01" w:rsidRPr="006525BB" w:rsidRDefault="00E47D01" w:rsidP="00E47D01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E47D01" w:rsidRPr="00015685" w:rsidRDefault="00E47D01" w:rsidP="00E47D01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E47D01" w:rsidRPr="00015685" w:rsidRDefault="00E47D01" w:rsidP="00E47D01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E47D01" w:rsidP="00E4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0D60CA">
      <w:pgSz w:w="11906" w:h="16838" w:code="9"/>
      <w:pgMar w:top="284" w:right="709" w:bottom="397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21C92"/>
    <w:rsid w:val="00044B1A"/>
    <w:rsid w:val="00083C87"/>
    <w:rsid w:val="000D17B7"/>
    <w:rsid w:val="000D60CA"/>
    <w:rsid w:val="000E51A1"/>
    <w:rsid w:val="000E72F7"/>
    <w:rsid w:val="00175FB1"/>
    <w:rsid w:val="0018481B"/>
    <w:rsid w:val="00190B2C"/>
    <w:rsid w:val="001B2EE8"/>
    <w:rsid w:val="002108A5"/>
    <w:rsid w:val="0028591B"/>
    <w:rsid w:val="002E10FD"/>
    <w:rsid w:val="002E4F52"/>
    <w:rsid w:val="00307955"/>
    <w:rsid w:val="0031258A"/>
    <w:rsid w:val="00320B60"/>
    <w:rsid w:val="00322876"/>
    <w:rsid w:val="00340F88"/>
    <w:rsid w:val="003504E5"/>
    <w:rsid w:val="003512DC"/>
    <w:rsid w:val="003734C1"/>
    <w:rsid w:val="00380F8F"/>
    <w:rsid w:val="003D2FB5"/>
    <w:rsid w:val="003E4071"/>
    <w:rsid w:val="0042792B"/>
    <w:rsid w:val="00443FCE"/>
    <w:rsid w:val="00494063"/>
    <w:rsid w:val="00494750"/>
    <w:rsid w:val="004B44CA"/>
    <w:rsid w:val="004B4FCE"/>
    <w:rsid w:val="004C5B31"/>
    <w:rsid w:val="004F5D7D"/>
    <w:rsid w:val="00503F90"/>
    <w:rsid w:val="005526DD"/>
    <w:rsid w:val="005A686A"/>
    <w:rsid w:val="005D58AD"/>
    <w:rsid w:val="005F3E3E"/>
    <w:rsid w:val="006212D0"/>
    <w:rsid w:val="00633189"/>
    <w:rsid w:val="006D60A7"/>
    <w:rsid w:val="006D6B0E"/>
    <w:rsid w:val="00701044"/>
    <w:rsid w:val="0070646B"/>
    <w:rsid w:val="00763A8E"/>
    <w:rsid w:val="007754DB"/>
    <w:rsid w:val="007905C9"/>
    <w:rsid w:val="007B461A"/>
    <w:rsid w:val="007B7762"/>
    <w:rsid w:val="007C5C53"/>
    <w:rsid w:val="007D3E2C"/>
    <w:rsid w:val="00833865"/>
    <w:rsid w:val="00887CD4"/>
    <w:rsid w:val="008A5F40"/>
    <w:rsid w:val="008B20A0"/>
    <w:rsid w:val="008B69F6"/>
    <w:rsid w:val="008F08C0"/>
    <w:rsid w:val="008F619B"/>
    <w:rsid w:val="00925AD5"/>
    <w:rsid w:val="00926E4E"/>
    <w:rsid w:val="009277F5"/>
    <w:rsid w:val="0095369C"/>
    <w:rsid w:val="00954D54"/>
    <w:rsid w:val="00980A84"/>
    <w:rsid w:val="009A684F"/>
    <w:rsid w:val="009B0809"/>
    <w:rsid w:val="009D436F"/>
    <w:rsid w:val="009E3D50"/>
    <w:rsid w:val="00A34413"/>
    <w:rsid w:val="00A571F1"/>
    <w:rsid w:val="00A6196A"/>
    <w:rsid w:val="00AB0FD7"/>
    <w:rsid w:val="00AB466E"/>
    <w:rsid w:val="00AD4ACA"/>
    <w:rsid w:val="00AE3C2B"/>
    <w:rsid w:val="00B17500"/>
    <w:rsid w:val="00B8541B"/>
    <w:rsid w:val="00BA2F82"/>
    <w:rsid w:val="00BC1619"/>
    <w:rsid w:val="00BC769A"/>
    <w:rsid w:val="00BD1B73"/>
    <w:rsid w:val="00C00C5A"/>
    <w:rsid w:val="00C15FDD"/>
    <w:rsid w:val="00C232FE"/>
    <w:rsid w:val="00C53041"/>
    <w:rsid w:val="00C6427F"/>
    <w:rsid w:val="00D202EA"/>
    <w:rsid w:val="00D442E8"/>
    <w:rsid w:val="00DA7ED9"/>
    <w:rsid w:val="00DD72E4"/>
    <w:rsid w:val="00DE0A10"/>
    <w:rsid w:val="00E12534"/>
    <w:rsid w:val="00E224F1"/>
    <w:rsid w:val="00E35301"/>
    <w:rsid w:val="00E47D01"/>
    <w:rsid w:val="00EA481F"/>
    <w:rsid w:val="00EA55B3"/>
    <w:rsid w:val="00F058E8"/>
    <w:rsid w:val="00F15B56"/>
    <w:rsid w:val="00F36BD0"/>
    <w:rsid w:val="00F406AD"/>
    <w:rsid w:val="00F510BD"/>
    <w:rsid w:val="00F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AE36DF-A48B-4F9C-8185-2B7A43C8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D01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 Sanchez-Otto Oehme GmbH</dc:creator>
  <cp:lastModifiedBy>Marco Pschierer - Otto Oehme GmbH</cp:lastModifiedBy>
  <cp:revision>2</cp:revision>
  <cp:lastPrinted>2009-10-29T07:33:00Z</cp:lastPrinted>
  <dcterms:created xsi:type="dcterms:W3CDTF">2022-02-22T09:19:00Z</dcterms:created>
  <dcterms:modified xsi:type="dcterms:W3CDTF">2022-02-22T09:19:00Z</dcterms:modified>
</cp:coreProperties>
</file>