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D51974">
      <w:pPr>
        <w:framePr w:w="11016" w:h="16234" w:hRule="exact" w:wrap="auto" w:vAnchor="text" w:hAnchor="page" w:x="618" w:y="270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"/>
        <w:gridCol w:w="1347"/>
        <w:gridCol w:w="5441"/>
        <w:gridCol w:w="1579"/>
        <w:gridCol w:w="1387"/>
      </w:tblGrid>
      <w:tr w:rsidR="00044B1A" w:rsidTr="00F145B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358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41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D052E4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66" w:type="dxa"/>
            <w:gridSpan w:val="2"/>
          </w:tcPr>
          <w:p w:rsidR="00044B1A" w:rsidRDefault="00833865" w:rsidP="00D052E4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D052E4">
              <w:rPr>
                <w:b/>
                <w:sz w:val="20"/>
              </w:rPr>
              <w:t>1</w:t>
            </w:r>
            <w:r w:rsidR="00044B1A">
              <w:rPr>
                <w:b/>
                <w:sz w:val="20"/>
              </w:rPr>
              <w:t>/20</w:t>
            </w:r>
            <w:r w:rsidR="00D052E4">
              <w:rPr>
                <w:b/>
                <w:sz w:val="20"/>
              </w:rPr>
              <w:t>20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358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41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66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765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51974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PRODUKTBEZEICHNUNG</w:t>
            </w:r>
          </w:p>
        </w:tc>
      </w:tr>
      <w:tr w:rsidR="00D052E4" w:rsidTr="00F145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65" w:type="dxa"/>
            <w:gridSpan w:val="6"/>
          </w:tcPr>
          <w:p w:rsidR="00D052E4" w:rsidRDefault="00D052E4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27932">
              <w:rPr>
                <w:b/>
                <w:sz w:val="32"/>
                <w:szCs w:val="32"/>
              </w:rPr>
              <w:t>Dimex</w:t>
            </w:r>
            <w:proofErr w:type="spellEnd"/>
            <w:r w:rsidRPr="00327932">
              <w:rPr>
                <w:b/>
                <w:sz w:val="32"/>
                <w:szCs w:val="32"/>
              </w:rPr>
              <w:t xml:space="preserve"> fresh</w:t>
            </w:r>
          </w:p>
          <w:p w:rsidR="00D052E4" w:rsidRPr="009E3D50" w:rsidRDefault="00D052E4" w:rsidP="00D052E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gelb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765" w:type="dxa"/>
            <w:gridSpan w:val="6"/>
            <w:shd w:val="clear" w:color="auto" w:fill="FF0000"/>
          </w:tcPr>
          <w:p w:rsidR="00044B1A" w:rsidRPr="00D51974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GEFAHREN FÜR MENSCH UND UMWELT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995" w:type="dxa"/>
          </w:tcPr>
          <w:p w:rsidR="000D17B7" w:rsidRDefault="007B2D7A" w:rsidP="000D17B7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>
                  <wp:extent cx="419100" cy="4476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7C5C53" w:rsidP="000D17B7">
            <w:pPr>
              <w:spacing w:after="60"/>
              <w:jc w:val="center"/>
            </w:pPr>
          </w:p>
        </w:tc>
        <w:tc>
          <w:tcPr>
            <w:tcW w:w="8383" w:type="dxa"/>
            <w:gridSpan w:val="4"/>
            <w:tcBorders>
              <w:right w:val="nil"/>
            </w:tcBorders>
          </w:tcPr>
          <w:p w:rsidR="005D58AD" w:rsidRPr="009E3D50" w:rsidRDefault="005D58AD" w:rsidP="005D58AD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9E3D50">
              <w:t xml:space="preserve"> </w:t>
            </w: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327932" w:rsidRDefault="00327932" w:rsidP="00327932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327932">
              <w:rPr>
                <w:sz w:val="20"/>
                <w:szCs w:val="20"/>
              </w:rPr>
              <w:t>H319 Verursacht schwere Augenreizung.</w:t>
            </w:r>
          </w:p>
          <w:p w:rsidR="00430E73" w:rsidRDefault="00327932" w:rsidP="00327932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327932">
              <w:rPr>
                <w:sz w:val="20"/>
                <w:szCs w:val="20"/>
              </w:rPr>
              <w:t xml:space="preserve"> H412 Schädlich für Wasserorganismen, mit langfristiger Wirkung.</w:t>
            </w:r>
          </w:p>
          <w:p w:rsidR="00327932" w:rsidRDefault="00327932" w:rsidP="00327932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327932">
              <w:rPr>
                <w:sz w:val="20"/>
                <w:szCs w:val="20"/>
              </w:rPr>
              <w:t>EUH208 Enthält: D-Limonen. Kann allergische Reaktionen hervorrufen.</w:t>
            </w:r>
          </w:p>
        </w:tc>
        <w:tc>
          <w:tcPr>
            <w:tcW w:w="1387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765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D052E4" w:rsidTr="00F145B0">
        <w:tblPrEx>
          <w:tblCellMar>
            <w:top w:w="0" w:type="dxa"/>
            <w:bottom w:w="0" w:type="dxa"/>
          </w:tblCellMar>
        </w:tblPrEx>
        <w:trPr>
          <w:trHeight w:val="2979"/>
        </w:trPr>
        <w:tc>
          <w:tcPr>
            <w:tcW w:w="1011" w:type="dxa"/>
            <w:gridSpan w:val="2"/>
          </w:tcPr>
          <w:p w:rsidR="00D052E4" w:rsidRDefault="007B2D7A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E4" w:rsidRDefault="007B2D7A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E4" w:rsidRDefault="00D052E4" w:rsidP="00044B1A">
            <w:pPr>
              <w:jc w:val="center"/>
              <w:rPr>
                <w:sz w:val="8"/>
              </w:rPr>
            </w:pPr>
          </w:p>
          <w:p w:rsidR="00D052E4" w:rsidRDefault="00D052E4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54" w:type="dxa"/>
            <w:gridSpan w:val="4"/>
          </w:tcPr>
          <w:p w:rsidR="00D052E4" w:rsidRPr="009E3D50" w:rsidRDefault="00D052E4" w:rsidP="00044B1A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</w:t>
            </w:r>
            <w:r w:rsidRPr="009E3D50">
              <w:rPr>
                <w:bCs/>
                <w:sz w:val="20"/>
                <w:szCs w:val="20"/>
              </w:rPr>
              <w:t>t</w:t>
            </w:r>
            <w:r w:rsidRPr="009E3D50">
              <w:rPr>
                <w:bCs/>
                <w:sz w:val="20"/>
                <w:szCs w:val="20"/>
              </w:rPr>
              <w:t>ration und -menge arbeitsplatzspezifisch auszuwählen</w:t>
            </w:r>
          </w:p>
          <w:p w:rsidR="00D052E4" w:rsidRPr="009E3D50" w:rsidRDefault="00D052E4" w:rsidP="00044B1A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</w:t>
            </w:r>
            <w:r w:rsidR="007B2D7A">
              <w:rPr>
                <w:b/>
                <w:bCs/>
                <w:sz w:val="20"/>
                <w:szCs w:val="20"/>
              </w:rPr>
              <w:t>s</w:t>
            </w:r>
            <w:bookmarkStart w:id="0" w:name="_GoBack"/>
            <w:bookmarkEnd w:id="0"/>
            <w:r w:rsidRPr="009E3D50">
              <w:rPr>
                <w:b/>
                <w:bCs/>
                <w:sz w:val="20"/>
                <w:szCs w:val="20"/>
              </w:rPr>
              <w:t>schutz:</w:t>
            </w:r>
            <w:r w:rsidRPr="009E3D50">
              <w:rPr>
                <w:sz w:val="20"/>
                <w:szCs w:val="20"/>
              </w:rPr>
              <w:t xml:space="preserve">   Dichtschließende Schutzbrille (EN 166).</w:t>
            </w:r>
          </w:p>
          <w:p w:rsidR="00D052E4" w:rsidRPr="009E3D50" w:rsidRDefault="00D052E4" w:rsidP="005D58AD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 </w:t>
            </w:r>
            <w:proofErr w:type="spellStart"/>
            <w:r>
              <w:rPr>
                <w:sz w:val="20"/>
                <w:szCs w:val="20"/>
              </w:rPr>
              <w:t>Nitrilkautschuk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052E4" w:rsidRPr="009E3D50" w:rsidRDefault="00D052E4" w:rsidP="00044B1A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</w:p>
          <w:p w:rsidR="00D052E4" w:rsidRPr="009E3D50" w:rsidRDefault="00D052E4" w:rsidP="005D58AD">
            <w:pPr>
              <w:rPr>
                <w:bCs/>
                <w:sz w:val="20"/>
                <w:szCs w:val="20"/>
              </w:rPr>
            </w:pPr>
            <w:r w:rsidRPr="009E3D50">
              <w:rPr>
                <w:bCs/>
                <w:sz w:val="20"/>
                <w:szCs w:val="20"/>
              </w:rPr>
              <w:t>14387).</w:t>
            </w:r>
          </w:p>
          <w:p w:rsidR="00D052E4" w:rsidRPr="009E3D50" w:rsidRDefault="00D052E4" w:rsidP="00044B1A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Verhaltensregeln:</w:t>
            </w:r>
            <w:r w:rsidRPr="009E3D50">
              <w:rPr>
                <w:sz w:val="20"/>
                <w:szCs w:val="20"/>
              </w:rPr>
              <w:t xml:space="preserve"> Unter Verschluss aufbewahren!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  <w:r w:rsidRPr="009E3D50">
              <w:rPr>
                <w:sz w:val="20"/>
                <w:szCs w:val="20"/>
              </w:rPr>
              <w:t>Darf nicht in die Hände von Kindern gelangen. Von Nahrungsmitteln, Getränken und Futtermitteln fernhalten. B</w:t>
            </w:r>
            <w:r w:rsidRPr="009E3D50">
              <w:rPr>
                <w:sz w:val="20"/>
                <w:szCs w:val="20"/>
              </w:rPr>
              <w:t>e</w:t>
            </w:r>
            <w:r w:rsidRPr="009E3D50">
              <w:rPr>
                <w:sz w:val="20"/>
                <w:szCs w:val="20"/>
              </w:rPr>
              <w:t>schmutzte Kleidung sofort wechseln. Berührung mit Augen und Haut vermeiden. Bei der Arbeit nicht essen, tri</w:t>
            </w:r>
            <w:r w:rsidRPr="009E3D50">
              <w:rPr>
                <w:sz w:val="20"/>
                <w:szCs w:val="20"/>
              </w:rPr>
              <w:t>n</w:t>
            </w:r>
            <w:r w:rsidRPr="009E3D50">
              <w:rPr>
                <w:sz w:val="20"/>
                <w:szCs w:val="20"/>
              </w:rPr>
              <w:t>ken, rauchen.</w:t>
            </w:r>
            <w:r w:rsidRPr="009E3D50">
              <w:rPr>
                <w:sz w:val="20"/>
                <w:szCs w:val="20"/>
              </w:rPr>
              <w:br/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765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VERHALTEN IM GEFAHRFALL – Notruf 112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011" w:type="dxa"/>
            <w:gridSpan w:val="2"/>
          </w:tcPr>
          <w:p w:rsidR="00044B1A" w:rsidRDefault="007B2D7A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4" w:type="dxa"/>
            <w:gridSpan w:val="4"/>
          </w:tcPr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D052E4" w:rsidRPr="006525BB" w:rsidRDefault="00D052E4" w:rsidP="00D052E4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D052E4" w:rsidP="00D052E4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765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2414"/>
        </w:trPr>
        <w:tc>
          <w:tcPr>
            <w:tcW w:w="1011" w:type="dxa"/>
            <w:gridSpan w:val="2"/>
          </w:tcPr>
          <w:p w:rsidR="00044B1A" w:rsidRDefault="007B2D7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4" w:type="dxa"/>
            <w:gridSpan w:val="4"/>
          </w:tcPr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2108A5" w:rsidRPr="009E3D50" w:rsidRDefault="002108A5" w:rsidP="00D052E4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</w:t>
            </w:r>
            <w:r w:rsidRPr="009E3D50">
              <w:rPr>
                <w:sz w:val="20"/>
                <w:szCs w:val="20"/>
              </w:rPr>
              <w:t>e</w:t>
            </w:r>
            <w:r w:rsidRPr="009E3D50">
              <w:rPr>
                <w:sz w:val="20"/>
                <w:szCs w:val="20"/>
              </w:rPr>
              <w:t>hen.</w:t>
            </w:r>
          </w:p>
          <w:p w:rsidR="006D60A7" w:rsidRDefault="002108A5" w:rsidP="00D052E4">
            <w:pPr>
              <w:spacing w:before="0"/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6D60A7" w:rsidRPr="006D60A7">
              <w:rPr>
                <w:sz w:val="20"/>
                <w:szCs w:val="20"/>
              </w:rPr>
              <w:t xml:space="preserve"> 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</w:t>
            </w:r>
            <w:r w:rsidR="006D60A7" w:rsidRPr="006D60A7">
              <w:rPr>
                <w:sz w:val="20"/>
                <w:szCs w:val="20"/>
              </w:rPr>
              <w:t>e</w:t>
            </w:r>
            <w:r w:rsidR="006D60A7" w:rsidRPr="006D60A7">
              <w:rPr>
                <w:sz w:val="20"/>
                <w:szCs w:val="20"/>
              </w:rPr>
              <w:t xml:space="preserve">hen. </w:t>
            </w:r>
          </w:p>
          <w:p w:rsidR="00044B1A" w:rsidRDefault="00044B1A" w:rsidP="00D052E4">
            <w:pPr>
              <w:spacing w:before="0"/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="00327932">
              <w:rPr>
                <w:b/>
                <w:bCs/>
                <w:sz w:val="20"/>
                <w:szCs w:val="20"/>
              </w:rPr>
              <w:t xml:space="preserve"> </w:t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F145B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765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D052E4" w:rsidTr="00F145B0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011" w:type="dxa"/>
            <w:gridSpan w:val="2"/>
          </w:tcPr>
          <w:p w:rsidR="00D052E4" w:rsidRDefault="007B2D7A" w:rsidP="00D052E4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4" w:type="dxa"/>
            <w:gridSpan w:val="4"/>
          </w:tcPr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</w:t>
            </w:r>
            <w:r w:rsidRPr="006525BB">
              <w:rPr>
                <w:sz w:val="20"/>
                <w:szCs w:val="20"/>
              </w:rPr>
              <w:t>i</w:t>
            </w:r>
            <w:r w:rsidRPr="006525BB">
              <w:rPr>
                <w:sz w:val="20"/>
                <w:szCs w:val="20"/>
              </w:rPr>
              <w:t>gen Stelle zur ordnungsgemäßen Beseitigung zu übergeben.</w:t>
            </w:r>
          </w:p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</w:t>
            </w:r>
            <w:r w:rsidRPr="00015685">
              <w:rPr>
                <w:sz w:val="20"/>
                <w:szCs w:val="20"/>
              </w:rPr>
              <w:t>u</w:t>
            </w:r>
            <w:r w:rsidRPr="00015685">
              <w:rPr>
                <w:sz w:val="20"/>
                <w:szCs w:val="20"/>
              </w:rPr>
              <w:t>gen.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</w:t>
            </w:r>
            <w:r w:rsidRPr="00015685">
              <w:rPr>
                <w:sz w:val="20"/>
                <w:szCs w:val="20"/>
              </w:rPr>
              <w:t>i</w:t>
            </w:r>
            <w:r w:rsidRPr="00015685">
              <w:rPr>
                <w:sz w:val="20"/>
                <w:szCs w:val="20"/>
              </w:rPr>
              <w:t>che Stoffe enthalten.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</w:tbl>
    <w:p w:rsidR="0018481B" w:rsidRDefault="0018481B" w:rsidP="007D6BF6"/>
    <w:sectPr w:rsidR="0018481B" w:rsidSect="00F145B0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75FB1"/>
    <w:rsid w:val="0018481B"/>
    <w:rsid w:val="00190B2C"/>
    <w:rsid w:val="001B2EE8"/>
    <w:rsid w:val="002108A5"/>
    <w:rsid w:val="0028591B"/>
    <w:rsid w:val="002E10FD"/>
    <w:rsid w:val="002E4F52"/>
    <w:rsid w:val="00307955"/>
    <w:rsid w:val="0031258A"/>
    <w:rsid w:val="00320B60"/>
    <w:rsid w:val="00322876"/>
    <w:rsid w:val="00327932"/>
    <w:rsid w:val="00340F88"/>
    <w:rsid w:val="003504E5"/>
    <w:rsid w:val="003512DC"/>
    <w:rsid w:val="003734C1"/>
    <w:rsid w:val="003E4071"/>
    <w:rsid w:val="0042792B"/>
    <w:rsid w:val="00430E73"/>
    <w:rsid w:val="00443FCE"/>
    <w:rsid w:val="00494063"/>
    <w:rsid w:val="004B44CA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D60A7"/>
    <w:rsid w:val="006D6B0E"/>
    <w:rsid w:val="006F10BF"/>
    <w:rsid w:val="00701044"/>
    <w:rsid w:val="0070646B"/>
    <w:rsid w:val="00763A8E"/>
    <w:rsid w:val="007754DB"/>
    <w:rsid w:val="007B2D7A"/>
    <w:rsid w:val="007B461A"/>
    <w:rsid w:val="007B7762"/>
    <w:rsid w:val="007C5C53"/>
    <w:rsid w:val="007D3E2C"/>
    <w:rsid w:val="007D6BF6"/>
    <w:rsid w:val="00833865"/>
    <w:rsid w:val="00887CD4"/>
    <w:rsid w:val="008A5F40"/>
    <w:rsid w:val="008B20A0"/>
    <w:rsid w:val="008F08C0"/>
    <w:rsid w:val="008F619B"/>
    <w:rsid w:val="00925AD5"/>
    <w:rsid w:val="009277F5"/>
    <w:rsid w:val="00954D54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B17500"/>
    <w:rsid w:val="00B8541B"/>
    <w:rsid w:val="00BA2F82"/>
    <w:rsid w:val="00BC000D"/>
    <w:rsid w:val="00BC1619"/>
    <w:rsid w:val="00BC769A"/>
    <w:rsid w:val="00BD1B73"/>
    <w:rsid w:val="00C00C5A"/>
    <w:rsid w:val="00C15FDD"/>
    <w:rsid w:val="00C232FE"/>
    <w:rsid w:val="00C53041"/>
    <w:rsid w:val="00C6427F"/>
    <w:rsid w:val="00D052E4"/>
    <w:rsid w:val="00D202EA"/>
    <w:rsid w:val="00D442E8"/>
    <w:rsid w:val="00D51974"/>
    <w:rsid w:val="00DA7ED9"/>
    <w:rsid w:val="00DD72E4"/>
    <w:rsid w:val="00DE0A10"/>
    <w:rsid w:val="00E12534"/>
    <w:rsid w:val="00E224F1"/>
    <w:rsid w:val="00E35301"/>
    <w:rsid w:val="00EA481F"/>
    <w:rsid w:val="00EA55B3"/>
    <w:rsid w:val="00F145B0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3408F0-3CCC-453C-9745-6ABCC00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Petra Siedler-Otto Oehme GmbH</cp:lastModifiedBy>
  <cp:revision>3</cp:revision>
  <cp:lastPrinted>2020-01-23T08:11:00Z</cp:lastPrinted>
  <dcterms:created xsi:type="dcterms:W3CDTF">2020-01-23T08:10:00Z</dcterms:created>
  <dcterms:modified xsi:type="dcterms:W3CDTF">2020-01-23T08:11:00Z</dcterms:modified>
</cp:coreProperties>
</file>